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EE42" w14:textId="14ACEA2D" w:rsidR="00EB0507" w:rsidRDefault="00EB0507" w:rsidP="00EB050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B0507">
        <w:rPr>
          <w:rFonts w:ascii="Lato" w:eastAsia="Times New Roman" w:hAnsi="Lato" w:cs="Times New Roman"/>
          <w:color w:val="CC3300"/>
          <w:kern w:val="36"/>
          <w:sz w:val="36"/>
          <w:szCs w:val="36"/>
          <w:lang w:eastAsia="fr-BE"/>
          <w14:ligatures w14:val="none"/>
        </w:rPr>
        <w:t>Zinc</w:t>
      </w:r>
      <w:r>
        <w:rPr>
          <w:rFonts w:ascii="Lato" w:eastAsia="Times New Roman" w:hAnsi="Lato" w:cs="Times New Roman"/>
          <w:color w:val="CC3300"/>
          <w:kern w:val="36"/>
          <w:sz w:val="36"/>
          <w:szCs w:val="36"/>
          <w:lang w:eastAsia="fr-BE"/>
          <w14:ligatures w14:val="none"/>
        </w:rPr>
        <w:t>,</w:t>
      </w:r>
      <w:r w:rsidRPr="00EB0507">
        <w:rPr>
          <w:rFonts w:ascii="Lato" w:eastAsia="Times New Roman" w:hAnsi="Lato" w:cs="Times New Roman"/>
          <w:color w:val="CC3300"/>
          <w:kern w:val="36"/>
          <w:sz w:val="36"/>
          <w:szCs w:val="36"/>
          <w:lang w:eastAsia="fr-BE"/>
          <w14:ligatures w14:val="none"/>
        </w:rPr>
        <w:t xml:space="preserve"> la demande portée par la transition énergétique </w:t>
      </w:r>
    </w:p>
    <w:p w14:paraId="06F75F00" w14:textId="77777777" w:rsidR="00EB0507" w:rsidRPr="00EB0507" w:rsidRDefault="00EB0507" w:rsidP="00EB050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7BFC9620"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b/>
          <w:bCs/>
          <w:color w:val="000000"/>
          <w:kern w:val="0"/>
          <w:sz w:val="23"/>
          <w:szCs w:val="23"/>
          <w:lang w:eastAsia="fr-BE"/>
          <w14:ligatures w14:val="none"/>
        </w:rPr>
        <w:t xml:space="preserve">La transition énergétique devrait soutenir la demande en zinc au cours des prochaines années, prévoit Andrew Green, dg d’International Lead &amp; Zinc </w:t>
      </w:r>
      <w:proofErr w:type="spellStart"/>
      <w:r w:rsidRPr="00EB0507">
        <w:rPr>
          <w:rFonts w:ascii="Lato" w:eastAsia="Times New Roman" w:hAnsi="Lato" w:cs="Times New Roman"/>
          <w:b/>
          <w:bCs/>
          <w:color w:val="000000"/>
          <w:kern w:val="0"/>
          <w:sz w:val="23"/>
          <w:szCs w:val="23"/>
          <w:lang w:eastAsia="fr-BE"/>
          <w14:ligatures w14:val="none"/>
        </w:rPr>
        <w:t>Study</w:t>
      </w:r>
      <w:proofErr w:type="spellEnd"/>
      <w:r w:rsidRPr="00EB0507">
        <w:rPr>
          <w:rFonts w:ascii="Lato" w:eastAsia="Times New Roman" w:hAnsi="Lato" w:cs="Times New Roman"/>
          <w:b/>
          <w:bCs/>
          <w:color w:val="000000"/>
          <w:kern w:val="0"/>
          <w:sz w:val="23"/>
          <w:szCs w:val="23"/>
          <w:lang w:eastAsia="fr-BE"/>
          <w14:ligatures w14:val="none"/>
        </w:rPr>
        <w:t xml:space="preserve"> Group (ILZSG).</w:t>
      </w:r>
    </w:p>
    <w:p w14:paraId="2418451C"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 </w:t>
      </w:r>
    </w:p>
    <w:p w14:paraId="522003D6"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 </w:t>
      </w:r>
      <w:r w:rsidRPr="00EB0507">
        <w:rPr>
          <w:rFonts w:ascii="Lato" w:eastAsia="Times New Roman" w:hAnsi="Lato" w:cs="Times New Roman"/>
          <w:i/>
          <w:iCs/>
          <w:color w:val="000000"/>
          <w:kern w:val="0"/>
          <w:sz w:val="23"/>
          <w:szCs w:val="23"/>
          <w:lang w:eastAsia="fr-BE"/>
          <w14:ligatures w14:val="none"/>
        </w:rPr>
        <w:t>Le zinc est parfois le métal oublié, mais il est essentiel au succès de la transition énergétique, notamment en raison des besoins dans les segments du stockage de l’énergie (…), des éoliennes et des panneaux solaires </w:t>
      </w:r>
      <w:r w:rsidRPr="00EB0507">
        <w:rPr>
          <w:rFonts w:ascii="Lato" w:eastAsia="Times New Roman" w:hAnsi="Lato" w:cs="Times New Roman"/>
          <w:color w:val="000000"/>
          <w:kern w:val="0"/>
          <w:sz w:val="23"/>
          <w:szCs w:val="23"/>
          <w:lang w:eastAsia="fr-BE"/>
          <w14:ligatures w14:val="none"/>
        </w:rPr>
        <w:t>», a souligné Andrew Green, lors d’une conférence, à Cracovie en Pologne.</w:t>
      </w:r>
    </w:p>
    <w:p w14:paraId="313FF937"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 </w:t>
      </w:r>
      <w:r w:rsidRPr="00EB0507">
        <w:rPr>
          <w:rFonts w:ascii="Lato" w:eastAsia="Times New Roman" w:hAnsi="Lato" w:cs="Times New Roman"/>
          <w:i/>
          <w:iCs/>
          <w:color w:val="000000"/>
          <w:kern w:val="0"/>
          <w:sz w:val="23"/>
          <w:szCs w:val="23"/>
          <w:lang w:eastAsia="fr-BE"/>
          <w14:ligatures w14:val="none"/>
        </w:rPr>
        <w:t>Traditionnellement, la demande en zinc est particulièrement forte dans les secteurs de la construction, l’automobile et la galvanisation de l’acier. Mais les opportunités offertes par la transition énergétique pourraient changer tout cela</w:t>
      </w:r>
      <w:r w:rsidRPr="00EB0507">
        <w:rPr>
          <w:rFonts w:ascii="Lato" w:eastAsia="Times New Roman" w:hAnsi="Lato" w:cs="Times New Roman"/>
          <w:color w:val="000000"/>
          <w:kern w:val="0"/>
          <w:sz w:val="23"/>
          <w:szCs w:val="23"/>
          <w:lang w:eastAsia="fr-BE"/>
          <w14:ligatures w14:val="none"/>
        </w:rPr>
        <w:t>, estime Andrew Green. </w:t>
      </w:r>
      <w:r w:rsidRPr="00EB0507">
        <w:rPr>
          <w:rFonts w:ascii="Lato" w:eastAsia="Times New Roman" w:hAnsi="Lato" w:cs="Times New Roman"/>
          <w:i/>
          <w:iCs/>
          <w:color w:val="000000"/>
          <w:kern w:val="0"/>
          <w:sz w:val="23"/>
          <w:szCs w:val="23"/>
          <w:lang w:eastAsia="fr-BE"/>
          <w14:ligatures w14:val="none"/>
        </w:rPr>
        <w:t>Le zinc joue un rôle primordial dans les énergies renouvelables, notamment pour les fermes solaires et les parcs éoliens en mer, la galvanisation et les revêtements protégeant de la corrosion. »</w:t>
      </w:r>
    </w:p>
    <w:p w14:paraId="7E488FF7"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Il prévoit un accroissement de la demande en zinc dans le segment du stockage de l’énergie, de l’ordre de 45.000 tonnes par an d’ici à 2030. Dans le segment des éoliennes, 50.000 tonnes de zinc supplémentaires seront nécessaires, tandis que dans le solaire, ce seront 600.000 tonnes par an. « </w:t>
      </w:r>
      <w:r w:rsidRPr="00EB0507">
        <w:rPr>
          <w:rFonts w:ascii="Lato" w:eastAsia="Times New Roman" w:hAnsi="Lato" w:cs="Times New Roman"/>
          <w:i/>
          <w:iCs/>
          <w:color w:val="000000"/>
          <w:kern w:val="0"/>
          <w:sz w:val="23"/>
          <w:szCs w:val="23"/>
          <w:lang w:eastAsia="fr-BE"/>
          <w14:ligatures w14:val="none"/>
        </w:rPr>
        <w:t>La transition énergétique requerra ainsi quelques 800.000 tonnes de zinc supplémentaires par an </w:t>
      </w:r>
      <w:r w:rsidRPr="00EB0507">
        <w:rPr>
          <w:rFonts w:ascii="Lato" w:eastAsia="Times New Roman" w:hAnsi="Lato" w:cs="Times New Roman"/>
          <w:color w:val="000000"/>
          <w:kern w:val="0"/>
          <w:sz w:val="23"/>
          <w:szCs w:val="23"/>
          <w:lang w:eastAsia="fr-BE"/>
          <w14:ligatures w14:val="none"/>
        </w:rPr>
        <w:t>», a-t-il indiqué.</w:t>
      </w:r>
    </w:p>
    <w:p w14:paraId="40C7E088"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La consommation annuelle de zinc est anticipée à 13,99 millions de tonnes en 2024, soit une progression, en rythme annuel, de 2,4%, selon ILZSG En dehors de la transition énergétique, la demande en zinc possède encore un potentiel de croissance dans les secteurs traditionnels tels que l’automobile. « </w:t>
      </w:r>
      <w:r w:rsidRPr="00EB0507">
        <w:rPr>
          <w:rFonts w:ascii="Lato" w:eastAsia="Times New Roman" w:hAnsi="Lato" w:cs="Times New Roman"/>
          <w:i/>
          <w:iCs/>
          <w:color w:val="000000"/>
          <w:kern w:val="0"/>
          <w:sz w:val="23"/>
          <w:szCs w:val="23"/>
          <w:lang w:eastAsia="fr-BE"/>
          <w14:ligatures w14:val="none"/>
        </w:rPr>
        <w:t>Chaque modèle de véhicule contient de l’acier galvanisé, donc que ce soit pour les véhicules à moteur à combustion ou les véhicules électriques, l’acier galvanisé constitue la plus grande part du marché </w:t>
      </w:r>
      <w:r w:rsidRPr="00EB0507">
        <w:rPr>
          <w:rFonts w:ascii="Lato" w:eastAsia="Times New Roman" w:hAnsi="Lato" w:cs="Times New Roman"/>
          <w:color w:val="000000"/>
          <w:kern w:val="0"/>
          <w:sz w:val="23"/>
          <w:szCs w:val="23"/>
          <w:lang w:eastAsia="fr-BE"/>
          <w14:ligatures w14:val="none"/>
        </w:rPr>
        <w:t>», ajoute Andrew Green.</w:t>
      </w:r>
    </w:p>
    <w:p w14:paraId="4EFD872A"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 </w:t>
      </w:r>
    </w:p>
    <w:p w14:paraId="6F373437"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b/>
          <w:bCs/>
          <w:color w:val="000000"/>
          <w:kern w:val="0"/>
          <w:sz w:val="23"/>
          <w:szCs w:val="23"/>
          <w:lang w:eastAsia="fr-BE"/>
          <w14:ligatures w14:val="none"/>
        </w:rPr>
        <w:t>Répondre à la demande</w:t>
      </w:r>
    </w:p>
    <w:p w14:paraId="33DB19A4"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En dépit des perspectives de demande positives pour le zinc, les tensions sur l’offre à court et moyen terme pénalisent le marché. « </w:t>
      </w:r>
      <w:r w:rsidRPr="00EB0507">
        <w:rPr>
          <w:rFonts w:ascii="Lato" w:eastAsia="Times New Roman" w:hAnsi="Lato" w:cs="Times New Roman"/>
          <w:i/>
          <w:iCs/>
          <w:color w:val="000000"/>
          <w:kern w:val="0"/>
          <w:sz w:val="23"/>
          <w:szCs w:val="23"/>
          <w:lang w:eastAsia="fr-BE"/>
          <w14:ligatures w14:val="none"/>
        </w:rPr>
        <w:t>Le marché des concentrés est attendu en déficit, en raison des fermetures de mines </w:t>
      </w:r>
      <w:r w:rsidRPr="00EB0507">
        <w:rPr>
          <w:rFonts w:ascii="Lato" w:eastAsia="Times New Roman" w:hAnsi="Lato" w:cs="Times New Roman"/>
          <w:color w:val="000000"/>
          <w:kern w:val="0"/>
          <w:sz w:val="23"/>
          <w:szCs w:val="23"/>
          <w:lang w:eastAsia="fr-BE"/>
          <w14:ligatures w14:val="none"/>
        </w:rPr>
        <w:t>», précise-t-il.</w:t>
      </w:r>
    </w:p>
    <w:p w14:paraId="77738590"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En 2023, la contraction des cours du zinc et l’augmentation des coûts d’opération, ont resserré le marché des concentrés. « </w:t>
      </w:r>
      <w:r w:rsidRPr="00EB0507">
        <w:rPr>
          <w:rFonts w:ascii="Lato" w:eastAsia="Times New Roman" w:hAnsi="Lato" w:cs="Times New Roman"/>
          <w:i/>
          <w:iCs/>
          <w:color w:val="000000"/>
          <w:kern w:val="0"/>
          <w:sz w:val="23"/>
          <w:szCs w:val="23"/>
          <w:lang w:eastAsia="fr-BE"/>
          <w14:ligatures w14:val="none"/>
        </w:rPr>
        <w:t>Je pense que nous avons une idée assez précise des pays qui produisent du zinc (…). Nous pouvons nous appuyer sur cette représentation pour élaborer une chaîne d'approvisionnement fiable. Mais ouvrir des mines prend du temps ; d’ici là nous connaîtrons donc des périodes de pénurie », </w:t>
      </w:r>
      <w:r w:rsidRPr="00EB0507">
        <w:rPr>
          <w:rFonts w:ascii="Lato" w:eastAsia="Times New Roman" w:hAnsi="Lato" w:cs="Times New Roman"/>
          <w:color w:val="000000"/>
          <w:kern w:val="0"/>
          <w:sz w:val="23"/>
          <w:szCs w:val="23"/>
          <w:lang w:eastAsia="fr-BE"/>
          <w14:ligatures w14:val="none"/>
        </w:rPr>
        <w:t>prévoit Andrew Green. </w:t>
      </w:r>
      <w:r w:rsidRPr="00EB0507">
        <w:rPr>
          <w:rFonts w:ascii="Lato" w:eastAsia="Times New Roman" w:hAnsi="Lato" w:cs="Times New Roman"/>
          <w:i/>
          <w:iCs/>
          <w:color w:val="000000"/>
          <w:kern w:val="0"/>
          <w:sz w:val="23"/>
          <w:szCs w:val="23"/>
          <w:lang w:eastAsia="fr-BE"/>
          <w14:ligatures w14:val="none"/>
        </w:rPr>
        <w:t>« Nous avons des sources d’approvisionnement durables. Les cours du zinc devraient commencer à s’apprécier compte tenu de l’insuffisance d’offre et de la progression de la demande. » </w:t>
      </w:r>
      <w:r w:rsidRPr="00EB0507">
        <w:rPr>
          <w:rFonts w:ascii="Lato" w:eastAsia="Times New Roman" w:hAnsi="Lato" w:cs="Times New Roman"/>
          <w:color w:val="000000"/>
          <w:kern w:val="0"/>
          <w:sz w:val="23"/>
          <w:szCs w:val="23"/>
          <w:lang w:eastAsia="fr-BE"/>
          <w14:ligatures w14:val="none"/>
        </w:rPr>
        <w:t>Les cours du zinc ont entamé une progression début avril. Le métal a clôturé la séance du mardi 4 juin à 2.943 $/t, soit une valeur en hausse de 18,7% par rapport à celle de début avril de 2.479,50 $/t.</w:t>
      </w:r>
    </w:p>
    <w:p w14:paraId="25D7CF1D"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L’amélioration des conditions de marché s’est traduite par le redémarrage de capacités minières telles que, récemment, à la mine Tara de </w:t>
      </w:r>
      <w:proofErr w:type="spellStart"/>
      <w:r w:rsidRPr="00EB0507">
        <w:rPr>
          <w:rFonts w:ascii="Lato" w:eastAsia="Times New Roman" w:hAnsi="Lato" w:cs="Times New Roman"/>
          <w:b/>
          <w:bCs/>
          <w:color w:val="000000"/>
          <w:kern w:val="0"/>
          <w:sz w:val="23"/>
          <w:szCs w:val="23"/>
          <w:lang w:eastAsia="fr-BE"/>
          <w14:ligatures w14:val="none"/>
        </w:rPr>
        <w:t>Boliden</w:t>
      </w:r>
      <w:proofErr w:type="spellEnd"/>
      <w:r w:rsidRPr="00EB0507">
        <w:rPr>
          <w:rFonts w:ascii="Lato" w:eastAsia="Times New Roman" w:hAnsi="Lato" w:cs="Times New Roman"/>
          <w:b/>
          <w:bCs/>
          <w:color w:val="000000"/>
          <w:kern w:val="0"/>
          <w:sz w:val="23"/>
          <w:szCs w:val="23"/>
          <w:lang w:eastAsia="fr-BE"/>
          <w14:ligatures w14:val="none"/>
        </w:rPr>
        <w:t> </w:t>
      </w:r>
      <w:r w:rsidRPr="00EB0507">
        <w:rPr>
          <w:rFonts w:ascii="Lato" w:eastAsia="Times New Roman" w:hAnsi="Lato" w:cs="Times New Roman"/>
          <w:color w:val="000000"/>
          <w:kern w:val="0"/>
          <w:sz w:val="23"/>
          <w:szCs w:val="23"/>
          <w:lang w:eastAsia="fr-BE"/>
          <w14:ligatures w14:val="none"/>
        </w:rPr>
        <w:t xml:space="preserve">en Irlande, et à la mine </w:t>
      </w:r>
      <w:proofErr w:type="spellStart"/>
      <w:r w:rsidRPr="00EB0507">
        <w:rPr>
          <w:rFonts w:ascii="Lato" w:eastAsia="Times New Roman" w:hAnsi="Lato" w:cs="Times New Roman"/>
          <w:color w:val="000000"/>
          <w:kern w:val="0"/>
          <w:sz w:val="23"/>
          <w:szCs w:val="23"/>
          <w:lang w:eastAsia="fr-BE"/>
          <w14:ligatures w14:val="none"/>
        </w:rPr>
        <w:t>Vares</w:t>
      </w:r>
      <w:proofErr w:type="spellEnd"/>
      <w:r w:rsidRPr="00EB0507">
        <w:rPr>
          <w:rFonts w:ascii="Lato" w:eastAsia="Times New Roman" w:hAnsi="Lato" w:cs="Times New Roman"/>
          <w:color w:val="000000"/>
          <w:kern w:val="0"/>
          <w:sz w:val="23"/>
          <w:szCs w:val="23"/>
          <w:lang w:eastAsia="fr-BE"/>
          <w14:ligatures w14:val="none"/>
        </w:rPr>
        <w:t>, en Bosnie, en février (</w:t>
      </w:r>
      <w:proofErr w:type="spellStart"/>
      <w:r w:rsidRPr="00EB0507">
        <w:rPr>
          <w:rFonts w:ascii="Lato" w:eastAsia="Times New Roman" w:hAnsi="Lato" w:cs="Times New Roman"/>
          <w:color w:val="000000"/>
          <w:kern w:val="0"/>
          <w:sz w:val="23"/>
          <w:szCs w:val="23"/>
          <w:lang w:eastAsia="fr-BE"/>
          <w14:ligatures w14:val="none"/>
        </w:rPr>
        <w:t>cf</w:t>
      </w:r>
      <w:proofErr w:type="spellEnd"/>
      <w:r w:rsidRPr="00EB0507">
        <w:rPr>
          <w:rFonts w:ascii="Lato" w:eastAsia="Times New Roman" w:hAnsi="Lato" w:cs="Times New Roman"/>
          <w:color w:val="000000"/>
          <w:kern w:val="0"/>
          <w:sz w:val="23"/>
          <w:szCs w:val="23"/>
          <w:lang w:eastAsia="fr-BE"/>
          <w14:ligatures w14:val="none"/>
        </w:rPr>
        <w:t xml:space="preserve"> articles ci-dessous).</w:t>
      </w:r>
    </w:p>
    <w:p w14:paraId="6331514B"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t> </w:t>
      </w:r>
    </w:p>
    <w:p w14:paraId="76088834"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b/>
          <w:bCs/>
          <w:color w:val="000000"/>
          <w:kern w:val="0"/>
          <w:sz w:val="23"/>
          <w:szCs w:val="23"/>
          <w:lang w:eastAsia="fr-BE"/>
          <w14:ligatures w14:val="none"/>
        </w:rPr>
        <w:t>La décarbonation </w:t>
      </w:r>
      <w:r w:rsidRPr="00EB0507">
        <w:rPr>
          <w:rFonts w:ascii="Lato" w:eastAsia="Times New Roman" w:hAnsi="Lato" w:cs="Times New Roman"/>
          <w:b/>
          <w:bCs/>
          <w:i/>
          <w:iCs/>
          <w:color w:val="000000"/>
          <w:kern w:val="0"/>
          <w:sz w:val="23"/>
          <w:szCs w:val="23"/>
          <w:lang w:eastAsia="fr-BE"/>
          <w14:ligatures w14:val="none"/>
        </w:rPr>
        <w:t>via</w:t>
      </w:r>
      <w:r w:rsidRPr="00EB0507">
        <w:rPr>
          <w:rFonts w:ascii="Lato" w:eastAsia="Times New Roman" w:hAnsi="Lato" w:cs="Times New Roman"/>
          <w:b/>
          <w:bCs/>
          <w:color w:val="000000"/>
          <w:kern w:val="0"/>
          <w:sz w:val="23"/>
          <w:szCs w:val="23"/>
          <w:lang w:eastAsia="fr-BE"/>
          <w14:ligatures w14:val="none"/>
        </w:rPr>
        <w:t> le recyclage</w:t>
      </w:r>
    </w:p>
    <w:p w14:paraId="405E2A8D" w14:textId="77777777" w:rsidR="00EB0507" w:rsidRPr="00EB0507" w:rsidRDefault="00EB0507" w:rsidP="00EB05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0507">
        <w:rPr>
          <w:rFonts w:ascii="Lato" w:eastAsia="Times New Roman" w:hAnsi="Lato" w:cs="Times New Roman"/>
          <w:color w:val="000000"/>
          <w:kern w:val="0"/>
          <w:sz w:val="23"/>
          <w:szCs w:val="23"/>
          <w:lang w:eastAsia="fr-BE"/>
          <w14:ligatures w14:val="none"/>
        </w:rPr>
        <w:lastRenderedPageBreak/>
        <w:t>Le zinc est également un levier pour la baisse des émissions carbone, de la production d’acier à celle du béton. 60% du zinc est utilisé pour galvaniser l’acier, protéger de la corrosion et augmenter la durée de vie des produits. « </w:t>
      </w:r>
      <w:r w:rsidRPr="00EB0507">
        <w:rPr>
          <w:rFonts w:ascii="Lato" w:eastAsia="Times New Roman" w:hAnsi="Lato" w:cs="Times New Roman"/>
          <w:i/>
          <w:iCs/>
          <w:color w:val="000000"/>
          <w:kern w:val="0"/>
          <w:sz w:val="23"/>
          <w:szCs w:val="23"/>
          <w:lang w:eastAsia="fr-BE"/>
          <w14:ligatures w14:val="none"/>
        </w:rPr>
        <w:t xml:space="preserve">Si l’on remplace 10% des toitures avec des produits galvanisés, rien qu’aux Etats-Unis, on réduit </w:t>
      </w:r>
      <w:proofErr w:type="gramStart"/>
      <w:r w:rsidRPr="00EB0507">
        <w:rPr>
          <w:rFonts w:ascii="Lato" w:eastAsia="Times New Roman" w:hAnsi="Lato" w:cs="Times New Roman"/>
          <w:i/>
          <w:iCs/>
          <w:color w:val="000000"/>
          <w:kern w:val="0"/>
          <w:sz w:val="23"/>
          <w:szCs w:val="23"/>
          <w:lang w:eastAsia="fr-BE"/>
          <w14:ligatures w14:val="none"/>
        </w:rPr>
        <w:t>les émissions carbone</w:t>
      </w:r>
      <w:proofErr w:type="gramEnd"/>
      <w:r w:rsidRPr="00EB0507">
        <w:rPr>
          <w:rFonts w:ascii="Lato" w:eastAsia="Times New Roman" w:hAnsi="Lato" w:cs="Times New Roman"/>
          <w:i/>
          <w:iCs/>
          <w:color w:val="000000"/>
          <w:kern w:val="0"/>
          <w:sz w:val="23"/>
          <w:szCs w:val="23"/>
          <w:lang w:eastAsia="fr-BE"/>
          <w14:ligatures w14:val="none"/>
        </w:rPr>
        <w:t xml:space="preserve"> de plus de 500.000 tonnes par an. Pour le zinc, cela se traduirait par une augmentation des besoins de 500.000 tonnes. C’est gagnant-gagnant. </w:t>
      </w:r>
      <w:r w:rsidRPr="00EB0507">
        <w:rPr>
          <w:rFonts w:ascii="Lato" w:eastAsia="Times New Roman" w:hAnsi="Lato" w:cs="Times New Roman"/>
          <w:color w:val="000000"/>
          <w:kern w:val="0"/>
          <w:sz w:val="23"/>
          <w:szCs w:val="23"/>
          <w:lang w:eastAsia="fr-BE"/>
          <w14:ligatures w14:val="none"/>
        </w:rPr>
        <w:t>» Et de conclure : « </w:t>
      </w:r>
      <w:r w:rsidRPr="00EB0507">
        <w:rPr>
          <w:rFonts w:ascii="Lato" w:eastAsia="Times New Roman" w:hAnsi="Lato" w:cs="Times New Roman"/>
          <w:i/>
          <w:iCs/>
          <w:color w:val="000000"/>
          <w:kern w:val="0"/>
          <w:sz w:val="23"/>
          <w:szCs w:val="23"/>
          <w:lang w:eastAsia="fr-BE"/>
          <w14:ligatures w14:val="none"/>
        </w:rPr>
        <w:t>Actuellement, entre 3 et 4 millions de tonnes de zinc sont issues du recyclage </w:t>
      </w:r>
      <w:r w:rsidRPr="00EB0507">
        <w:rPr>
          <w:rFonts w:ascii="Lato" w:eastAsia="Times New Roman" w:hAnsi="Lato" w:cs="Times New Roman"/>
          <w:color w:val="000000"/>
          <w:kern w:val="0"/>
          <w:sz w:val="23"/>
          <w:szCs w:val="23"/>
          <w:lang w:eastAsia="fr-BE"/>
          <w14:ligatures w14:val="none"/>
        </w:rPr>
        <w:t>», poursuit Andrew Green. « </w:t>
      </w:r>
      <w:r w:rsidRPr="00EB0507">
        <w:rPr>
          <w:rFonts w:ascii="Lato" w:eastAsia="Times New Roman" w:hAnsi="Lato" w:cs="Times New Roman"/>
          <w:i/>
          <w:iCs/>
          <w:color w:val="000000"/>
          <w:kern w:val="0"/>
          <w:sz w:val="23"/>
          <w:szCs w:val="23"/>
          <w:lang w:eastAsia="fr-BE"/>
          <w14:ligatures w14:val="none"/>
        </w:rPr>
        <w:t>Le zinc est un élément clé. C’est un marché qui va continuer à croître </w:t>
      </w:r>
      <w:r w:rsidRPr="00EB0507">
        <w:rPr>
          <w:rFonts w:ascii="Lato" w:eastAsia="Times New Roman" w:hAnsi="Lato" w:cs="Times New Roman"/>
          <w:color w:val="000000"/>
          <w:kern w:val="0"/>
          <w:sz w:val="23"/>
          <w:szCs w:val="23"/>
          <w:lang w:eastAsia="fr-BE"/>
          <w14:ligatures w14:val="none"/>
        </w:rPr>
        <w:t>»</w:t>
      </w:r>
    </w:p>
    <w:p w14:paraId="4B3CB20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07"/>
    <w:rsid w:val="00287462"/>
    <w:rsid w:val="002D5991"/>
    <w:rsid w:val="00EB0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D99C"/>
  <w15:chartTrackingRefBased/>
  <w15:docId w15:val="{19555564-E06E-4150-A0EC-AC209CFD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0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0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05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05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05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05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05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05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05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05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05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05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05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05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05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05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05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0507"/>
    <w:rPr>
      <w:rFonts w:eastAsiaTheme="majorEastAsia" w:cstheme="majorBidi"/>
      <w:color w:val="272727" w:themeColor="text1" w:themeTint="D8"/>
    </w:rPr>
  </w:style>
  <w:style w:type="paragraph" w:styleId="Titre">
    <w:name w:val="Title"/>
    <w:basedOn w:val="Normal"/>
    <w:next w:val="Normal"/>
    <w:link w:val="TitreCar"/>
    <w:uiPriority w:val="10"/>
    <w:qFormat/>
    <w:rsid w:val="00EB0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05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05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05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0507"/>
    <w:pPr>
      <w:spacing w:before="160"/>
      <w:jc w:val="center"/>
    </w:pPr>
    <w:rPr>
      <w:i/>
      <w:iCs/>
      <w:color w:val="404040" w:themeColor="text1" w:themeTint="BF"/>
    </w:rPr>
  </w:style>
  <w:style w:type="character" w:customStyle="1" w:styleId="CitationCar">
    <w:name w:val="Citation Car"/>
    <w:basedOn w:val="Policepardfaut"/>
    <w:link w:val="Citation"/>
    <w:uiPriority w:val="29"/>
    <w:rsid w:val="00EB0507"/>
    <w:rPr>
      <w:i/>
      <w:iCs/>
      <w:color w:val="404040" w:themeColor="text1" w:themeTint="BF"/>
    </w:rPr>
  </w:style>
  <w:style w:type="paragraph" w:styleId="Paragraphedeliste">
    <w:name w:val="List Paragraph"/>
    <w:basedOn w:val="Normal"/>
    <w:uiPriority w:val="34"/>
    <w:qFormat/>
    <w:rsid w:val="00EB0507"/>
    <w:pPr>
      <w:ind w:left="720"/>
      <w:contextualSpacing/>
    </w:pPr>
  </w:style>
  <w:style w:type="character" w:styleId="Accentuationintense">
    <w:name w:val="Intense Emphasis"/>
    <w:basedOn w:val="Policepardfaut"/>
    <w:uiPriority w:val="21"/>
    <w:qFormat/>
    <w:rsid w:val="00EB0507"/>
    <w:rPr>
      <w:i/>
      <w:iCs/>
      <w:color w:val="0F4761" w:themeColor="accent1" w:themeShade="BF"/>
    </w:rPr>
  </w:style>
  <w:style w:type="paragraph" w:styleId="Citationintense">
    <w:name w:val="Intense Quote"/>
    <w:basedOn w:val="Normal"/>
    <w:next w:val="Normal"/>
    <w:link w:val="CitationintenseCar"/>
    <w:uiPriority w:val="30"/>
    <w:qFormat/>
    <w:rsid w:val="00EB0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0507"/>
    <w:rPr>
      <w:i/>
      <w:iCs/>
      <w:color w:val="0F4761" w:themeColor="accent1" w:themeShade="BF"/>
    </w:rPr>
  </w:style>
  <w:style w:type="character" w:styleId="Rfrenceintense">
    <w:name w:val="Intense Reference"/>
    <w:basedOn w:val="Policepardfaut"/>
    <w:uiPriority w:val="32"/>
    <w:qFormat/>
    <w:rsid w:val="00EB0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1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3339</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2024-06-17T06:39:00Z</dcterms:created>
  <dcterms:modified xsi:type="dcterms:W3CDTF">2024-06-17T06:39:00Z</dcterms:modified>
</cp:coreProperties>
</file>